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2A1" w:rsidRPr="000F0A1A" w:rsidRDefault="00D132A1" w:rsidP="00D132A1">
      <w:pPr>
        <w:pStyle w:val="Kopongenummerd"/>
        <w:spacing w:after="0" w:line="305" w:lineRule="auto"/>
        <w:rPr>
          <w:b/>
          <w:sz w:val="24"/>
          <w:szCs w:val="24"/>
        </w:rPr>
      </w:pPr>
      <w:bookmarkStart w:id="0" w:name="_Toc414021397"/>
      <w:bookmarkStart w:id="1" w:name="_Toc415135318"/>
      <w:bookmarkStart w:id="2" w:name="_Toc446499192"/>
      <w:bookmarkStart w:id="3" w:name="_Toc447008261"/>
      <w:r w:rsidRPr="000F0A1A">
        <w:rPr>
          <w:b/>
          <w:sz w:val="24"/>
          <w:szCs w:val="24"/>
        </w:rPr>
        <w:t>Bijlage 5</w:t>
      </w:r>
      <w:r w:rsidR="00826F0D">
        <w:rPr>
          <w:b/>
          <w:sz w:val="24"/>
          <w:szCs w:val="24"/>
        </w:rPr>
        <w:t>.1</w:t>
      </w:r>
      <w:r w:rsidRPr="000F0A1A">
        <w:rPr>
          <w:b/>
          <w:sz w:val="24"/>
          <w:szCs w:val="24"/>
        </w:rPr>
        <w:tab/>
        <w:t>Format directieverklaring</w:t>
      </w:r>
      <w:bookmarkEnd w:id="0"/>
      <w:bookmarkEnd w:id="1"/>
      <w:r w:rsidRPr="000F0A1A">
        <w:rPr>
          <w:b/>
          <w:sz w:val="24"/>
          <w:szCs w:val="24"/>
        </w:rPr>
        <w:t xml:space="preserve"> dienstverlener verantwoording ingezameld verpakkingsafval</w:t>
      </w:r>
      <w:bookmarkEnd w:id="2"/>
      <w:bookmarkEnd w:id="3"/>
    </w:p>
    <w:p w:rsidR="00D132A1" w:rsidRPr="000F0A1A" w:rsidRDefault="00D132A1" w:rsidP="00D132A1">
      <w:pPr>
        <w:pStyle w:val="Kop2"/>
        <w:numPr>
          <w:ilvl w:val="0"/>
          <w:numId w:val="0"/>
        </w:numPr>
        <w:spacing w:line="305" w:lineRule="auto"/>
        <w:rPr>
          <w:b/>
          <w:sz w:val="18"/>
          <w:szCs w:val="18"/>
        </w:rPr>
      </w:pPr>
      <w:bookmarkStart w:id="4" w:name="_Toc414021398"/>
      <w:bookmarkStart w:id="5" w:name="_Toc415135319"/>
      <w:bookmarkStart w:id="6" w:name="_Toc446499193"/>
      <w:bookmarkStart w:id="7" w:name="_Toc447008262"/>
      <w:bookmarkStart w:id="8" w:name="_GoBack"/>
      <w:r w:rsidRPr="000F0A1A">
        <w:rPr>
          <w:b/>
          <w:sz w:val="18"/>
          <w:szCs w:val="18"/>
        </w:rPr>
        <w:t xml:space="preserve">Directieverklaring in het kader van het </w:t>
      </w:r>
      <w:bookmarkEnd w:id="4"/>
      <w:r w:rsidRPr="000F0A1A">
        <w:rPr>
          <w:b/>
          <w:sz w:val="18"/>
          <w:szCs w:val="18"/>
        </w:rPr>
        <w:t>protocol reguliere accountantscontrole gemeenten</w:t>
      </w:r>
      <w:bookmarkEnd w:id="5"/>
      <w:bookmarkEnd w:id="6"/>
      <w:bookmarkEnd w:id="7"/>
    </w:p>
    <w:bookmarkEnd w:id="8"/>
    <w:p w:rsidR="00D132A1" w:rsidRDefault="00D132A1" w:rsidP="00D132A1">
      <w:pPr>
        <w:pStyle w:val="Default"/>
        <w:spacing w:line="305" w:lineRule="auto"/>
        <w:rPr>
          <w:rFonts w:ascii="Century Gothic" w:hAnsi="Century Gothic"/>
          <w:sz w:val="18"/>
          <w:szCs w:val="18"/>
        </w:rPr>
      </w:pPr>
    </w:p>
    <w:p w:rsidR="00D132A1" w:rsidRPr="000F0A1A" w:rsidRDefault="00D132A1" w:rsidP="00D132A1">
      <w:pPr>
        <w:pStyle w:val="Default"/>
        <w:spacing w:line="305" w:lineRule="auto"/>
        <w:rPr>
          <w:rFonts w:ascii="Century Gothic" w:hAnsi="Century Gothic"/>
          <w:b/>
          <w:color w:val="009AD1"/>
          <w:sz w:val="18"/>
          <w:szCs w:val="18"/>
        </w:rPr>
      </w:pPr>
      <w:r w:rsidRPr="000F0A1A">
        <w:rPr>
          <w:rFonts w:ascii="Century Gothic" w:hAnsi="Century Gothic"/>
          <w:b/>
          <w:color w:val="009AD1"/>
          <w:sz w:val="18"/>
          <w:szCs w:val="18"/>
        </w:rPr>
        <w:t>Bij bronscheiding</w:t>
      </w:r>
    </w:p>
    <w:p w:rsidR="00D132A1" w:rsidRPr="00E32072" w:rsidRDefault="00D132A1" w:rsidP="00D132A1">
      <w:pPr>
        <w:spacing w:line="305" w:lineRule="auto"/>
        <w:rPr>
          <w:rFonts w:cs="Tahoma"/>
          <w:szCs w:val="18"/>
        </w:rPr>
      </w:pPr>
      <w:r w:rsidRPr="00E32072">
        <w:rPr>
          <w:rFonts w:cs="Tahoma"/>
          <w:szCs w:val="18"/>
        </w:rPr>
        <w:t xml:space="preserve">Deze bevestiging bij het overzicht van [naam </w:t>
      </w:r>
      <w:r>
        <w:rPr>
          <w:rFonts w:cs="Tahoma"/>
          <w:szCs w:val="18"/>
        </w:rPr>
        <w:t>dienstverlener</w:t>
      </w:r>
      <w:r w:rsidRPr="00E32072">
        <w:rPr>
          <w:rFonts w:cs="Tahoma"/>
          <w:szCs w:val="18"/>
        </w:rPr>
        <w:t>]</w:t>
      </w:r>
      <w:r>
        <w:rPr>
          <w:rFonts w:cs="Tahoma"/>
          <w:szCs w:val="18"/>
        </w:rPr>
        <w:t xml:space="preserve"> </w:t>
      </w:r>
      <w:r w:rsidRPr="00E32072">
        <w:rPr>
          <w:rFonts w:cs="Tahoma"/>
          <w:szCs w:val="18"/>
        </w:rPr>
        <w:t>van de ingezamelde gewichten verpakkingsafval over de periode 1 januari 201</w:t>
      </w:r>
      <w:r w:rsidR="006B1D04">
        <w:rPr>
          <w:rFonts w:cs="Tahoma"/>
          <w:szCs w:val="18"/>
        </w:rPr>
        <w:t>6</w:t>
      </w:r>
      <w:r w:rsidRPr="00E32072">
        <w:rPr>
          <w:rFonts w:cs="Tahoma"/>
          <w:szCs w:val="18"/>
        </w:rPr>
        <w:t xml:space="preserve"> tot en met 31 december 201</w:t>
      </w:r>
      <w:r w:rsidR="006B1D04">
        <w:rPr>
          <w:rFonts w:cs="Tahoma"/>
          <w:szCs w:val="18"/>
        </w:rPr>
        <w:t>6</w:t>
      </w:r>
      <w:r w:rsidRPr="00E32072">
        <w:rPr>
          <w:rFonts w:cs="Tahoma"/>
          <w:szCs w:val="18"/>
        </w:rPr>
        <w:t xml:space="preserve"> van de gemeente [naam gemeente], wordt afgegeven in samenhang met uw controle die ger</w:t>
      </w:r>
      <w:r>
        <w:rPr>
          <w:rFonts w:cs="Tahoma"/>
          <w:szCs w:val="18"/>
        </w:rPr>
        <w:t>icht is op het afgeven van een A</w:t>
      </w:r>
      <w:r w:rsidRPr="00E32072">
        <w:rPr>
          <w:rFonts w:cs="Tahoma"/>
          <w:szCs w:val="18"/>
        </w:rPr>
        <w:t>ssurance-rapport bij de eindafrekening in WasteTool over 201</w:t>
      </w:r>
      <w:r w:rsidR="006B1D04">
        <w:rPr>
          <w:rFonts w:cs="Tahoma"/>
          <w:szCs w:val="18"/>
        </w:rPr>
        <w:t>6</w:t>
      </w:r>
      <w:r w:rsidRPr="00E32072">
        <w:rPr>
          <w:rFonts w:cs="Tahoma"/>
          <w:szCs w:val="18"/>
        </w:rPr>
        <w:t>.</w:t>
      </w:r>
    </w:p>
    <w:p w:rsidR="00D132A1" w:rsidRDefault="00D132A1" w:rsidP="00D132A1">
      <w:pPr>
        <w:spacing w:line="305" w:lineRule="auto"/>
        <w:rPr>
          <w:rFonts w:cs="Tahoma"/>
          <w:szCs w:val="18"/>
        </w:rPr>
      </w:pPr>
    </w:p>
    <w:p w:rsidR="00D132A1" w:rsidRPr="003C46EA" w:rsidRDefault="00D132A1" w:rsidP="00D132A1">
      <w:pPr>
        <w:spacing w:line="305" w:lineRule="auto"/>
        <w:rPr>
          <w:rFonts w:cs="Tahoma"/>
          <w:b/>
          <w:color w:val="009AD1"/>
          <w:szCs w:val="18"/>
        </w:rPr>
      </w:pPr>
      <w:r w:rsidRPr="003C46EA">
        <w:rPr>
          <w:rFonts w:cs="Tahoma"/>
          <w:b/>
          <w:color w:val="009AD1"/>
          <w:szCs w:val="18"/>
        </w:rPr>
        <w:t>Bij nascheiding</w:t>
      </w:r>
    </w:p>
    <w:p w:rsidR="00D132A1" w:rsidRDefault="00D132A1" w:rsidP="00D132A1">
      <w:pPr>
        <w:spacing w:line="305" w:lineRule="auto"/>
        <w:rPr>
          <w:rFonts w:cs="Tahoma"/>
          <w:szCs w:val="18"/>
        </w:rPr>
      </w:pPr>
      <w:r w:rsidRPr="00E32072">
        <w:rPr>
          <w:rFonts w:cs="Tahoma"/>
          <w:szCs w:val="18"/>
        </w:rPr>
        <w:t xml:space="preserve">Deze bevestiging bij het overzicht van [naam </w:t>
      </w:r>
      <w:r>
        <w:rPr>
          <w:rFonts w:cs="Tahoma"/>
          <w:szCs w:val="18"/>
        </w:rPr>
        <w:t>dienstverlener</w:t>
      </w:r>
      <w:r w:rsidRPr="00E32072">
        <w:rPr>
          <w:rFonts w:cs="Tahoma"/>
          <w:szCs w:val="18"/>
        </w:rPr>
        <w:t>]</w:t>
      </w:r>
      <w:r>
        <w:rPr>
          <w:rFonts w:cs="Tahoma"/>
          <w:szCs w:val="18"/>
        </w:rPr>
        <w:t xml:space="preserve"> vanuit het </w:t>
      </w:r>
      <w:r w:rsidRPr="00E32072">
        <w:rPr>
          <w:rFonts w:cs="Tahoma"/>
          <w:szCs w:val="18"/>
        </w:rPr>
        <w:t>verpakkingsafval over de periode 1 januari 201</w:t>
      </w:r>
      <w:r w:rsidR="006B1D04">
        <w:rPr>
          <w:rFonts w:cs="Tahoma"/>
          <w:szCs w:val="18"/>
        </w:rPr>
        <w:t>6</w:t>
      </w:r>
      <w:r w:rsidRPr="00E32072">
        <w:rPr>
          <w:rFonts w:cs="Tahoma"/>
          <w:szCs w:val="18"/>
        </w:rPr>
        <w:t xml:space="preserve"> tot en met 31 december 201</w:t>
      </w:r>
      <w:r w:rsidR="006B1D04">
        <w:rPr>
          <w:rFonts w:cs="Tahoma"/>
          <w:szCs w:val="18"/>
        </w:rPr>
        <w:t>6</w:t>
      </w:r>
      <w:r w:rsidRPr="00E32072">
        <w:rPr>
          <w:rFonts w:cs="Tahoma"/>
          <w:szCs w:val="18"/>
        </w:rPr>
        <w:t xml:space="preserve"> van de gemeente [naam gemeente]</w:t>
      </w:r>
      <w:r>
        <w:rPr>
          <w:rFonts w:cs="Tahoma"/>
          <w:szCs w:val="18"/>
        </w:rPr>
        <w:t xml:space="preserve"> </w:t>
      </w:r>
      <w:proofErr w:type="spellStart"/>
      <w:r>
        <w:rPr>
          <w:rFonts w:cs="Tahoma"/>
          <w:szCs w:val="18"/>
        </w:rPr>
        <w:t>nagescheiden</w:t>
      </w:r>
      <w:proofErr w:type="spellEnd"/>
      <w:r>
        <w:rPr>
          <w:rFonts w:cs="Tahoma"/>
          <w:szCs w:val="18"/>
        </w:rPr>
        <w:t xml:space="preserve"> gewichten</w:t>
      </w:r>
      <w:r w:rsidRPr="00E32072">
        <w:rPr>
          <w:rFonts w:cs="Tahoma"/>
          <w:szCs w:val="18"/>
        </w:rPr>
        <w:t>, wordt afgegeven in samenhang met uw controle die ger</w:t>
      </w:r>
      <w:r>
        <w:rPr>
          <w:rFonts w:cs="Tahoma"/>
          <w:szCs w:val="18"/>
        </w:rPr>
        <w:t>icht is op het afgeven van een A</w:t>
      </w:r>
      <w:r w:rsidRPr="00E32072">
        <w:rPr>
          <w:rFonts w:cs="Tahoma"/>
          <w:szCs w:val="18"/>
        </w:rPr>
        <w:t>ssurance-rapport bij de eindafrekening in WasteTool over 201</w:t>
      </w:r>
      <w:r w:rsidR="006B1D04">
        <w:rPr>
          <w:rFonts w:cs="Tahoma"/>
          <w:szCs w:val="18"/>
        </w:rPr>
        <w:t>6</w:t>
      </w:r>
      <w:r w:rsidRPr="00E32072">
        <w:rPr>
          <w:rFonts w:cs="Tahoma"/>
          <w:szCs w:val="18"/>
        </w:rPr>
        <w:t>.</w:t>
      </w:r>
    </w:p>
    <w:p w:rsidR="00D132A1" w:rsidRPr="00E32072" w:rsidRDefault="00D132A1" w:rsidP="00D132A1">
      <w:pPr>
        <w:spacing w:line="305" w:lineRule="auto"/>
        <w:rPr>
          <w:rFonts w:cs="Tahoma"/>
          <w:szCs w:val="18"/>
        </w:rPr>
      </w:pPr>
    </w:p>
    <w:p w:rsidR="00D132A1" w:rsidRPr="00E32072" w:rsidRDefault="00D132A1" w:rsidP="00D132A1">
      <w:pPr>
        <w:autoSpaceDE w:val="0"/>
        <w:autoSpaceDN w:val="0"/>
        <w:adjustRightInd w:val="0"/>
        <w:spacing w:line="305" w:lineRule="auto"/>
        <w:rPr>
          <w:rFonts w:cs="Tahoma"/>
          <w:szCs w:val="18"/>
        </w:rPr>
      </w:pPr>
      <w:r w:rsidRPr="00E32072">
        <w:rPr>
          <w:rFonts w:cs="Tahoma"/>
          <w:szCs w:val="18"/>
        </w:rPr>
        <w:t xml:space="preserve">De opgave van gewichten sluit met de volgende aantallen kilogrammen: </w:t>
      </w:r>
    </w:p>
    <w:p w:rsidR="00D132A1" w:rsidRPr="00E32072" w:rsidRDefault="00D132A1" w:rsidP="00D132A1">
      <w:pPr>
        <w:pStyle w:val="Opsommingblauwebullets"/>
        <w:numPr>
          <w:ilvl w:val="0"/>
          <w:numId w:val="5"/>
        </w:numPr>
        <w:spacing w:line="305" w:lineRule="auto"/>
      </w:pPr>
      <w:r w:rsidRPr="00E32072">
        <w:t xml:space="preserve">glas bont </w:t>
      </w:r>
      <w:r w:rsidRPr="00E32072">
        <w:tab/>
      </w:r>
      <w:r w:rsidRPr="00E32072">
        <w:tab/>
      </w:r>
      <w:r w:rsidRPr="00E32072">
        <w:tab/>
      </w:r>
      <w:r w:rsidRPr="00E32072">
        <w:tab/>
        <w:t xml:space="preserve">.. kg </w:t>
      </w:r>
    </w:p>
    <w:p w:rsidR="00D132A1" w:rsidRPr="008B5EB5" w:rsidRDefault="00D132A1" w:rsidP="00D132A1">
      <w:pPr>
        <w:pStyle w:val="Opsommingblauwebullets"/>
        <w:numPr>
          <w:ilvl w:val="0"/>
          <w:numId w:val="5"/>
        </w:numPr>
        <w:spacing w:line="305" w:lineRule="auto"/>
      </w:pPr>
      <w:r w:rsidRPr="008B5EB5">
        <w:t xml:space="preserve">glas </w:t>
      </w:r>
      <w:proofErr w:type="spellStart"/>
      <w:r w:rsidRPr="008B5EB5">
        <w:t>kleurgescheiden</w:t>
      </w:r>
      <w:proofErr w:type="spellEnd"/>
      <w:r w:rsidRPr="008B5EB5">
        <w:t xml:space="preserve"> totaal</w:t>
      </w:r>
      <w:r w:rsidRPr="008B5EB5">
        <w:tab/>
      </w:r>
      <w:r w:rsidRPr="008B5EB5">
        <w:tab/>
        <w:t>.. kg</w:t>
      </w:r>
    </w:p>
    <w:p w:rsidR="00D132A1" w:rsidRPr="008B5EB5" w:rsidRDefault="00D132A1" w:rsidP="00D132A1">
      <w:pPr>
        <w:pStyle w:val="Opsommingblauwebullets"/>
        <w:numPr>
          <w:ilvl w:val="0"/>
          <w:numId w:val="5"/>
        </w:numPr>
        <w:spacing w:line="305" w:lineRule="auto"/>
      </w:pPr>
      <w:r w:rsidRPr="008B5EB5">
        <w:t xml:space="preserve">oud papier en karton </w:t>
      </w:r>
      <w:r w:rsidRPr="008B5EB5">
        <w:tab/>
      </w:r>
      <w:r w:rsidRPr="008B5EB5">
        <w:tab/>
      </w:r>
      <w:r>
        <w:tab/>
      </w:r>
      <w:r w:rsidRPr="008B5EB5">
        <w:t>.. kg</w:t>
      </w:r>
      <w:r>
        <w:t xml:space="preserve"> </w:t>
      </w:r>
    </w:p>
    <w:p w:rsidR="00D132A1" w:rsidRPr="008B5EB5" w:rsidRDefault="00D132A1" w:rsidP="00D132A1">
      <w:pPr>
        <w:pStyle w:val="Opsommingblauwebullets"/>
        <w:numPr>
          <w:ilvl w:val="0"/>
          <w:numId w:val="5"/>
        </w:numPr>
        <w:spacing w:line="305" w:lineRule="auto"/>
      </w:pPr>
      <w:r w:rsidRPr="008B5EB5">
        <w:t xml:space="preserve">kunststof </w:t>
      </w:r>
      <w:r w:rsidRPr="008B5EB5">
        <w:tab/>
      </w:r>
      <w:r w:rsidRPr="008B5EB5">
        <w:tab/>
      </w:r>
      <w:r w:rsidRPr="008B5EB5">
        <w:tab/>
      </w:r>
      <w:r w:rsidRPr="008B5EB5">
        <w:tab/>
        <w:t>.. kg</w:t>
      </w:r>
    </w:p>
    <w:p w:rsidR="00D132A1" w:rsidRPr="00E32072" w:rsidRDefault="00D132A1" w:rsidP="00D132A1">
      <w:pPr>
        <w:pStyle w:val="Default"/>
        <w:spacing w:line="305" w:lineRule="auto"/>
        <w:rPr>
          <w:rFonts w:ascii="Century Gothic" w:hAnsi="Century Gothic" w:cs="Tahoma"/>
          <w:sz w:val="18"/>
          <w:szCs w:val="18"/>
        </w:rPr>
      </w:pPr>
    </w:p>
    <w:p w:rsidR="00D132A1" w:rsidRPr="00E32072" w:rsidRDefault="00D132A1" w:rsidP="00D132A1">
      <w:pPr>
        <w:spacing w:line="305" w:lineRule="auto"/>
        <w:rPr>
          <w:rFonts w:cs="Tahoma"/>
          <w:szCs w:val="18"/>
        </w:rPr>
      </w:pPr>
      <w:r w:rsidRPr="00E32072">
        <w:rPr>
          <w:rFonts w:cs="Tahoma"/>
          <w:szCs w:val="18"/>
        </w:rPr>
        <w:t xml:space="preserve">Wij erkennen onze verantwoordelijkheid voor de getrouwe weergave van de gegevens en dat deze in overeenstemming zijn met de voorwaarden en bepalingen </w:t>
      </w:r>
      <w:r>
        <w:rPr>
          <w:rFonts w:cs="Tahoma"/>
          <w:szCs w:val="18"/>
        </w:rPr>
        <w:t xml:space="preserve">zoals </w:t>
      </w:r>
      <w:r w:rsidRPr="00E32072">
        <w:rPr>
          <w:rFonts w:cs="Tahoma"/>
          <w:szCs w:val="18"/>
        </w:rPr>
        <w:t>gesteld door Stichting Nedvang.</w:t>
      </w:r>
    </w:p>
    <w:p w:rsidR="00D132A1" w:rsidRPr="00E32072" w:rsidRDefault="00D132A1" w:rsidP="00D132A1">
      <w:pPr>
        <w:spacing w:line="305" w:lineRule="auto"/>
        <w:rPr>
          <w:rFonts w:cs="Tahoma"/>
          <w:szCs w:val="18"/>
        </w:rPr>
      </w:pPr>
    </w:p>
    <w:p w:rsidR="00D132A1" w:rsidRPr="00E32072" w:rsidRDefault="00D132A1" w:rsidP="00D132A1">
      <w:pPr>
        <w:spacing w:line="305" w:lineRule="auto"/>
        <w:rPr>
          <w:rFonts w:cs="Tahoma"/>
          <w:szCs w:val="18"/>
        </w:rPr>
      </w:pPr>
      <w:r w:rsidRPr="00E32072">
        <w:rPr>
          <w:rFonts w:cs="Tahoma"/>
          <w:szCs w:val="18"/>
        </w:rPr>
        <w:t>Wij bevestigen naar ons beste weten het volgende;</w:t>
      </w:r>
    </w:p>
    <w:p w:rsidR="00D132A1" w:rsidRDefault="00D132A1" w:rsidP="00D132A1">
      <w:pPr>
        <w:pStyle w:val="Opsommingnummeriek"/>
        <w:numPr>
          <w:ilvl w:val="0"/>
          <w:numId w:val="6"/>
        </w:numPr>
        <w:spacing w:line="305" w:lineRule="auto"/>
      </w:pPr>
      <w:r w:rsidRPr="00E32072">
        <w:t>De gewichten op het overzicht zijn ontleend aan onze administratie waarbij gebruik wordt gemaakt van een digitale weegbrug.</w:t>
      </w:r>
    </w:p>
    <w:p w:rsidR="00D132A1" w:rsidRDefault="00D132A1" w:rsidP="00D132A1">
      <w:pPr>
        <w:pStyle w:val="Opsommingnummeriek"/>
        <w:numPr>
          <w:ilvl w:val="0"/>
          <w:numId w:val="6"/>
        </w:numPr>
        <w:spacing w:line="305" w:lineRule="auto"/>
      </w:pPr>
      <w:r w:rsidRPr="00E32072">
        <w:t>De gewichten op het overzicht zijn juist en volledig</w:t>
      </w:r>
      <w:r>
        <w:t>, waarbij wordt voldaan aan de definities zoals vastgesteld in het UMP en het Besluit</w:t>
      </w:r>
      <w:r w:rsidRPr="00E32072">
        <w:t>. Tevens zijn de gewichten tot stand gekomen in een administratie</w:t>
      </w:r>
      <w:r>
        <w:t>ve</w:t>
      </w:r>
      <w:r w:rsidRPr="00E32072">
        <w:t xml:space="preserve"> organisatie waarin toereikende maatregelen van interne controle zijn opgenomen. Wij hebben geen kennis van ongecorrigeerde afwijkingen die, afzonderlijk of tezamen van materieel belang zijn voor de verantwoording als geheel.</w:t>
      </w:r>
    </w:p>
    <w:p w:rsidR="00D132A1" w:rsidRPr="00E32072" w:rsidRDefault="00D132A1" w:rsidP="00D132A1">
      <w:pPr>
        <w:pStyle w:val="Opsommingnummeriek"/>
        <w:numPr>
          <w:ilvl w:val="0"/>
          <w:numId w:val="6"/>
        </w:numPr>
        <w:spacing w:line="305" w:lineRule="auto"/>
      </w:pPr>
      <w:r w:rsidRPr="00E32072">
        <w:t>De gewichten op het overzicht hebben enkel betrekking op de gemeente [naam gemeente].</w:t>
      </w:r>
    </w:p>
    <w:p w:rsidR="00D132A1" w:rsidRDefault="00D132A1" w:rsidP="00D132A1">
      <w:pPr>
        <w:pStyle w:val="Opsommingnummeriek"/>
        <w:numPr>
          <w:ilvl w:val="0"/>
          <w:numId w:val="6"/>
        </w:numPr>
        <w:spacing w:line="305" w:lineRule="auto"/>
      </w:pPr>
      <w:r w:rsidRPr="00E32072">
        <w:t>Leidinggevenden en medewerkers die betrokken zijn bij de inzamelactiviteiten</w:t>
      </w:r>
      <w:r>
        <w:t>/</w:t>
      </w:r>
      <w:proofErr w:type="spellStart"/>
      <w:r>
        <w:t>nascheidingsactiviteiten</w:t>
      </w:r>
      <w:proofErr w:type="spellEnd"/>
      <w:r w:rsidRPr="00E32072">
        <w:t xml:space="preserve"> en de daaraan verbonden administratieve organisatie en interne controle, zijn niet betrokken geweest bij onregelmatigheden. Er hebben zich geen onregelmatigheden voorgedaan die een effect van materieel belang zouden kunnen hebben op het overzicht van gewichten.</w:t>
      </w:r>
    </w:p>
    <w:p w:rsidR="00D132A1" w:rsidRPr="00E32072" w:rsidRDefault="00D132A1" w:rsidP="00D132A1">
      <w:pPr>
        <w:pStyle w:val="Opsommingnummeriek"/>
        <w:numPr>
          <w:ilvl w:val="0"/>
          <w:numId w:val="6"/>
        </w:numPr>
        <w:spacing w:line="305" w:lineRule="auto"/>
      </w:pPr>
      <w:r w:rsidRPr="00E32072">
        <w:t>De digitale weegbrug is bewezen geschikt voor de weegactiviteiten die in dit kader zijn uitgevoerd.</w:t>
      </w:r>
    </w:p>
    <w:p w:rsidR="00D132A1" w:rsidRPr="008B5EB5" w:rsidRDefault="00D132A1" w:rsidP="00D132A1">
      <w:pPr>
        <w:pStyle w:val="Opsommingnummeriek"/>
        <w:numPr>
          <w:ilvl w:val="0"/>
          <w:numId w:val="6"/>
        </w:numPr>
        <w:spacing w:line="305" w:lineRule="auto"/>
      </w:pPr>
      <w:r w:rsidRPr="00E32072">
        <w:t xml:space="preserve">De opbrengsten van ingezameld huishoudelijk verpakkingsafval over het jaar </w:t>
      </w:r>
      <w:r>
        <w:t>2015</w:t>
      </w:r>
      <w:r w:rsidRPr="00E32072">
        <w:t xml:space="preserve"> in alle van</w:t>
      </w:r>
      <w:r>
        <w:t xml:space="preserve"> </w:t>
      </w:r>
      <w:r w:rsidRPr="00E32072">
        <w:t>materieel belang zijnde aspecten zijn volledig weer gegeven en in overeenstemming met de voorwaarden zoals vastgelegd in het Uitvoerings- en monitoringprotocol en in het accountantsprotocol.</w:t>
      </w:r>
      <w:r w:rsidRPr="00E32072">
        <w:rPr>
          <w:rStyle w:val="Voetnootmarkering"/>
        </w:rPr>
        <w:footnoteReference w:id="1"/>
      </w:r>
    </w:p>
    <w:p w:rsidR="00D132A1" w:rsidRDefault="00D132A1" w:rsidP="00D132A1">
      <w:pPr>
        <w:spacing w:after="200"/>
        <w:rPr>
          <w:rFonts w:cs="Tahoma"/>
          <w:b/>
          <w:szCs w:val="18"/>
        </w:rPr>
      </w:pPr>
      <w:r>
        <w:rPr>
          <w:rFonts w:cs="Tahoma"/>
          <w:b/>
          <w:szCs w:val="18"/>
        </w:rPr>
        <w:br w:type="page"/>
      </w:r>
    </w:p>
    <w:p w:rsidR="00D132A1" w:rsidRPr="003C46EA" w:rsidRDefault="00D132A1" w:rsidP="00D132A1">
      <w:pPr>
        <w:spacing w:line="305" w:lineRule="auto"/>
        <w:rPr>
          <w:rFonts w:cs="Tahoma"/>
          <w:b/>
          <w:color w:val="009AD1"/>
          <w:szCs w:val="18"/>
        </w:rPr>
      </w:pPr>
      <w:r w:rsidRPr="003C46EA">
        <w:rPr>
          <w:rFonts w:cs="Tahoma"/>
          <w:b/>
          <w:color w:val="009AD1"/>
          <w:szCs w:val="18"/>
        </w:rPr>
        <w:lastRenderedPageBreak/>
        <w:t>Fraude en het voldoen aan wet- en regelgeving</w:t>
      </w:r>
    </w:p>
    <w:p w:rsidR="00D132A1" w:rsidRPr="000C155F" w:rsidRDefault="00D132A1" w:rsidP="00D132A1">
      <w:pPr>
        <w:pStyle w:val="Lijstnummering"/>
        <w:numPr>
          <w:ilvl w:val="0"/>
          <w:numId w:val="3"/>
        </w:numPr>
        <w:spacing w:line="305" w:lineRule="auto"/>
        <w:ind w:left="284" w:hanging="284"/>
        <w:rPr>
          <w:rFonts w:ascii="Century Gothic" w:eastAsiaTheme="minorHAnsi" w:hAnsi="Century Gothic" w:cs="Tahoma"/>
          <w:sz w:val="18"/>
          <w:szCs w:val="18"/>
        </w:rPr>
      </w:pPr>
      <w:r w:rsidRPr="000C155F">
        <w:rPr>
          <w:rFonts w:ascii="Century Gothic" w:eastAsiaTheme="minorHAnsi" w:hAnsi="Century Gothic" w:cs="Tahoma"/>
          <w:sz w:val="18"/>
          <w:szCs w:val="18"/>
        </w:rPr>
        <w:t>Wij erkennen onze verantwoordelijkheid voor de opzet en invoering van de maatregelen van interne beheersing om fraude te voorkomen en te ontdekken.</w:t>
      </w:r>
    </w:p>
    <w:p w:rsidR="00D132A1" w:rsidRPr="000C155F" w:rsidRDefault="00D132A1" w:rsidP="00D132A1">
      <w:pPr>
        <w:pStyle w:val="Lijstnummering"/>
        <w:numPr>
          <w:ilvl w:val="0"/>
          <w:numId w:val="3"/>
        </w:numPr>
        <w:spacing w:line="305" w:lineRule="auto"/>
        <w:ind w:left="284" w:hanging="284"/>
        <w:rPr>
          <w:rFonts w:ascii="Century Gothic" w:eastAsiaTheme="minorHAnsi" w:hAnsi="Century Gothic" w:cs="Tahoma"/>
          <w:sz w:val="18"/>
          <w:szCs w:val="18"/>
        </w:rPr>
      </w:pPr>
      <w:r w:rsidRPr="000C155F">
        <w:rPr>
          <w:rFonts w:ascii="Century Gothic" w:eastAsiaTheme="minorHAnsi" w:hAnsi="Century Gothic" w:cs="Tahoma"/>
          <w:sz w:val="18"/>
          <w:szCs w:val="18"/>
        </w:rPr>
        <w:t xml:space="preserve">Wij hebben de resultaten gemeld van onze inschatting van het risico dat </w:t>
      </w:r>
      <w:r>
        <w:rPr>
          <w:rFonts w:ascii="Century Gothic" w:eastAsiaTheme="minorHAnsi" w:hAnsi="Century Gothic" w:cs="Tahoma"/>
          <w:sz w:val="18"/>
          <w:szCs w:val="18"/>
        </w:rPr>
        <w:t>het overzicht</w:t>
      </w:r>
      <w:r w:rsidRPr="000C155F">
        <w:rPr>
          <w:rFonts w:ascii="Century Gothic" w:eastAsiaTheme="minorHAnsi" w:hAnsi="Century Gothic" w:cs="Tahoma"/>
          <w:sz w:val="18"/>
          <w:szCs w:val="18"/>
        </w:rPr>
        <w:t xml:space="preserve"> afwijkingen van materieel belang zou kunnen b</w:t>
      </w:r>
      <w:r>
        <w:rPr>
          <w:rFonts w:ascii="Century Gothic" w:eastAsiaTheme="minorHAnsi" w:hAnsi="Century Gothic" w:cs="Tahoma"/>
          <w:sz w:val="18"/>
          <w:szCs w:val="18"/>
        </w:rPr>
        <w:t xml:space="preserve">evatten als gevolg van fraude. </w:t>
      </w:r>
    </w:p>
    <w:p w:rsidR="00D132A1" w:rsidRDefault="00D132A1" w:rsidP="00D132A1">
      <w:pPr>
        <w:pStyle w:val="Lijstnummering"/>
        <w:numPr>
          <w:ilvl w:val="0"/>
          <w:numId w:val="3"/>
        </w:numPr>
        <w:spacing w:line="305" w:lineRule="auto"/>
        <w:ind w:left="284" w:hanging="284"/>
        <w:rPr>
          <w:rFonts w:ascii="Century Gothic" w:eastAsiaTheme="minorHAnsi" w:hAnsi="Century Gothic" w:cs="Tahoma"/>
          <w:sz w:val="18"/>
          <w:szCs w:val="18"/>
        </w:rPr>
      </w:pPr>
      <w:r w:rsidRPr="000C155F">
        <w:rPr>
          <w:rFonts w:ascii="Century Gothic" w:eastAsiaTheme="minorHAnsi" w:hAnsi="Century Gothic" w:cs="Tahoma"/>
          <w:sz w:val="18"/>
          <w:szCs w:val="18"/>
        </w:rPr>
        <w:t xml:space="preserve">Wij hebben u op de hoogte gesteld van alle aanwijzingen voor fraude, beschuldigingen van fraude of fraude met mogelijke invloed op </w:t>
      </w:r>
      <w:r>
        <w:rPr>
          <w:rFonts w:ascii="Century Gothic" w:eastAsiaTheme="minorHAnsi" w:hAnsi="Century Gothic" w:cs="Tahoma"/>
          <w:sz w:val="18"/>
          <w:szCs w:val="18"/>
        </w:rPr>
        <w:t>het overzicht</w:t>
      </w:r>
      <w:r w:rsidRPr="000C155F">
        <w:rPr>
          <w:rFonts w:ascii="Century Gothic" w:eastAsiaTheme="minorHAnsi" w:hAnsi="Century Gothic" w:cs="Tahoma"/>
          <w:sz w:val="18"/>
          <w:szCs w:val="18"/>
        </w:rPr>
        <w:t xml:space="preserve"> van de entiteit die ons bekend zijn door mededelingen van werknemers, voormalige medewerkers, analisten, regelgevende instanties of anderen. </w:t>
      </w:r>
    </w:p>
    <w:p w:rsidR="00D132A1" w:rsidRDefault="00D132A1" w:rsidP="00D132A1">
      <w:pPr>
        <w:spacing w:line="305" w:lineRule="auto"/>
        <w:rPr>
          <w:rFonts w:cs="Tahoma"/>
          <w:szCs w:val="18"/>
        </w:rPr>
      </w:pPr>
    </w:p>
    <w:p w:rsidR="00D132A1" w:rsidRDefault="00D132A1" w:rsidP="00D132A1">
      <w:pPr>
        <w:spacing w:line="305" w:lineRule="auto"/>
        <w:rPr>
          <w:rFonts w:cs="Tahoma"/>
          <w:szCs w:val="18"/>
        </w:rPr>
      </w:pPr>
    </w:p>
    <w:p w:rsidR="00D132A1" w:rsidRPr="00E32072" w:rsidRDefault="00D132A1" w:rsidP="00D132A1">
      <w:pPr>
        <w:spacing w:line="305" w:lineRule="auto"/>
        <w:rPr>
          <w:rFonts w:cs="Tahoma"/>
          <w:szCs w:val="18"/>
        </w:rPr>
      </w:pPr>
    </w:p>
    <w:p w:rsidR="00D132A1" w:rsidRPr="00E32072" w:rsidRDefault="00D132A1" w:rsidP="00D132A1">
      <w:pPr>
        <w:spacing w:line="305" w:lineRule="auto"/>
        <w:rPr>
          <w:rFonts w:cs="Tahoma"/>
          <w:szCs w:val="18"/>
        </w:rPr>
      </w:pPr>
      <w:r w:rsidRPr="00E32072">
        <w:rPr>
          <w:rFonts w:cs="Tahoma"/>
          <w:szCs w:val="18"/>
        </w:rPr>
        <w:t>Hoogachtend, namens [Naam bedrijf]</w:t>
      </w:r>
    </w:p>
    <w:p w:rsidR="00D132A1" w:rsidRPr="00E32072" w:rsidRDefault="00D132A1" w:rsidP="00D132A1">
      <w:pPr>
        <w:spacing w:line="305" w:lineRule="auto"/>
        <w:rPr>
          <w:rFonts w:cs="Tahoma"/>
          <w:szCs w:val="18"/>
        </w:rPr>
      </w:pPr>
    </w:p>
    <w:p w:rsidR="00D132A1" w:rsidRPr="00E32072" w:rsidRDefault="00D132A1" w:rsidP="00D132A1">
      <w:pPr>
        <w:spacing w:line="305" w:lineRule="auto"/>
        <w:rPr>
          <w:rFonts w:cs="Tahoma"/>
          <w:szCs w:val="18"/>
        </w:rPr>
      </w:pPr>
    </w:p>
    <w:p w:rsidR="00D132A1" w:rsidRPr="00E32072" w:rsidRDefault="00D132A1" w:rsidP="00D132A1">
      <w:pPr>
        <w:spacing w:line="305" w:lineRule="auto"/>
        <w:rPr>
          <w:rFonts w:cs="Tahoma"/>
          <w:szCs w:val="18"/>
        </w:rPr>
      </w:pPr>
      <w:r w:rsidRPr="00E32072">
        <w:rPr>
          <w:rFonts w:cs="Tahoma"/>
          <w:szCs w:val="18"/>
        </w:rPr>
        <w:t>Naam</w:t>
      </w:r>
      <w:r w:rsidRPr="00E32072">
        <w:rPr>
          <w:rFonts w:cs="Tahoma"/>
          <w:szCs w:val="18"/>
        </w:rPr>
        <w:tab/>
        <w:t>:</w:t>
      </w:r>
    </w:p>
    <w:p w:rsidR="00D132A1" w:rsidRPr="00E32072" w:rsidRDefault="00D132A1" w:rsidP="00D132A1">
      <w:pPr>
        <w:spacing w:line="305" w:lineRule="auto"/>
        <w:rPr>
          <w:rFonts w:cs="Tahoma"/>
          <w:szCs w:val="18"/>
        </w:rPr>
      </w:pPr>
      <w:r w:rsidRPr="00E32072">
        <w:rPr>
          <w:rFonts w:cs="Tahoma"/>
          <w:szCs w:val="18"/>
        </w:rPr>
        <w:t>Functie</w:t>
      </w:r>
      <w:r w:rsidRPr="00E32072">
        <w:rPr>
          <w:rFonts w:cs="Tahoma"/>
          <w:szCs w:val="18"/>
        </w:rPr>
        <w:tab/>
        <w:t>:</w:t>
      </w:r>
    </w:p>
    <w:p w:rsidR="00D132A1" w:rsidRPr="00E32072" w:rsidRDefault="00D132A1" w:rsidP="00D132A1">
      <w:pPr>
        <w:spacing w:line="305" w:lineRule="auto"/>
        <w:rPr>
          <w:szCs w:val="18"/>
        </w:rPr>
      </w:pPr>
      <w:r w:rsidRPr="00E32072">
        <w:rPr>
          <w:rFonts w:cs="Tahoma"/>
          <w:szCs w:val="18"/>
        </w:rPr>
        <w:t>Datum</w:t>
      </w:r>
      <w:r w:rsidRPr="00E32072">
        <w:rPr>
          <w:rFonts w:cs="Tahoma"/>
          <w:szCs w:val="18"/>
        </w:rPr>
        <w:tab/>
        <w:t>:</w:t>
      </w:r>
    </w:p>
    <w:p w:rsidR="00F30A62" w:rsidRDefault="00826F0D"/>
    <w:sectPr w:rsidR="00F30A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2A1" w:rsidRDefault="00D132A1" w:rsidP="00D132A1">
      <w:pPr>
        <w:spacing w:line="240" w:lineRule="auto"/>
      </w:pPr>
      <w:r>
        <w:separator/>
      </w:r>
    </w:p>
  </w:endnote>
  <w:endnote w:type="continuationSeparator" w:id="0">
    <w:p w:rsidR="00D132A1" w:rsidRDefault="00D132A1" w:rsidP="00D13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YInterstate Light">
    <w:altName w:val="Franklin Gothic Medium Cond"/>
    <w:charset w:val="00"/>
    <w:family w:val="auto"/>
    <w:pitch w:val="variable"/>
    <w:sig w:usb0="00000001" w:usb1="5000206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2A1" w:rsidRDefault="00D132A1" w:rsidP="00D132A1">
      <w:pPr>
        <w:spacing w:line="240" w:lineRule="auto"/>
      </w:pPr>
      <w:r>
        <w:separator/>
      </w:r>
    </w:p>
  </w:footnote>
  <w:footnote w:type="continuationSeparator" w:id="0">
    <w:p w:rsidR="00D132A1" w:rsidRDefault="00D132A1" w:rsidP="00D132A1">
      <w:pPr>
        <w:spacing w:line="240" w:lineRule="auto"/>
      </w:pPr>
      <w:r>
        <w:continuationSeparator/>
      </w:r>
    </w:p>
  </w:footnote>
  <w:footnote w:id="1">
    <w:p w:rsidR="00D132A1" w:rsidRPr="008B5EB5" w:rsidRDefault="00D132A1" w:rsidP="00D132A1">
      <w:pPr>
        <w:pStyle w:val="Voetnoot"/>
      </w:pPr>
      <w:r w:rsidRPr="008B5EB5">
        <w:rPr>
          <w:rStyle w:val="Voetnootmarkering"/>
          <w:sz w:val="16"/>
          <w:szCs w:val="16"/>
        </w:rPr>
        <w:footnoteRef/>
      </w:r>
      <w:r>
        <w:t xml:space="preserve"> </w:t>
      </w:r>
      <w:r>
        <w:tab/>
      </w:r>
      <w:r w:rsidRPr="008B5EB5">
        <w:t>De bevestiging van punt 6 is enkel van toepassing indien de directieverklaring door de gemeente wordt ingevuld.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A61"/>
    <w:multiLevelType w:val="hybridMultilevel"/>
    <w:tmpl w:val="0C94D798"/>
    <w:lvl w:ilvl="0" w:tplc="AC8C1D30">
      <w:start w:val="1"/>
      <w:numFmt w:val="decimal"/>
      <w:pStyle w:val="Lijstnummering"/>
      <w:lvlText w:val="%1"/>
      <w:lvlJc w:val="left"/>
      <w:pPr>
        <w:tabs>
          <w:tab w:val="num" w:pos="567"/>
        </w:tabs>
        <w:ind w:left="567" w:hanging="567"/>
      </w:pPr>
      <w:rPr>
        <w:rFonts w:ascii="EYInterstate Light" w:hAnsi="EYInterstate Light" w:hint="default"/>
        <w:b w:val="0"/>
        <w:i w:val="0"/>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BC005D"/>
    <w:multiLevelType w:val="hybridMultilevel"/>
    <w:tmpl w:val="DD4643C2"/>
    <w:lvl w:ilvl="0" w:tplc="FAE25BEC">
      <w:start w:val="1"/>
      <w:numFmt w:val="decimal"/>
      <w:pStyle w:val="Opsommingnummeriek"/>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FD04CE"/>
    <w:multiLevelType w:val="hybridMultilevel"/>
    <w:tmpl w:val="0EA08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1B2C2E"/>
    <w:multiLevelType w:val="multilevel"/>
    <w:tmpl w:val="E2B01692"/>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9830728"/>
    <w:multiLevelType w:val="hybridMultilevel"/>
    <w:tmpl w:val="8556D7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1"/>
    <w:lvlOverride w:ilvl="0">
      <w:startOverride w:val="1"/>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A1"/>
    <w:rsid w:val="006B1D04"/>
    <w:rsid w:val="006B7B42"/>
    <w:rsid w:val="00826F0D"/>
    <w:rsid w:val="00B812C8"/>
    <w:rsid w:val="00C9576D"/>
    <w:rsid w:val="00D132A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52EA"/>
  <w15:chartTrackingRefBased/>
  <w15:docId w15:val="{CA0CB1EF-6477-481C-BBD2-A7EE5947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305"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D132A1"/>
    <w:pPr>
      <w:spacing w:line="276" w:lineRule="auto"/>
    </w:pPr>
    <w:rPr>
      <w:rFonts w:ascii="Century Gothic" w:hAnsi="Century Gothic"/>
      <w:sz w:val="18"/>
    </w:rPr>
  </w:style>
  <w:style w:type="paragraph" w:styleId="Kop1">
    <w:name w:val="heading 1"/>
    <w:basedOn w:val="Standaard"/>
    <w:next w:val="Standaard"/>
    <w:link w:val="Kop1Char"/>
    <w:qFormat/>
    <w:rsid w:val="00D132A1"/>
    <w:pPr>
      <w:keepNext/>
      <w:keepLines/>
      <w:pageBreakBefore/>
      <w:numPr>
        <w:numId w:val="1"/>
      </w:numPr>
      <w:spacing w:after="200" w:line="560" w:lineRule="exact"/>
      <w:outlineLvl w:val="0"/>
    </w:pPr>
    <w:rPr>
      <w:rFonts w:eastAsiaTheme="majorEastAsia" w:cstheme="majorBidi"/>
      <w:bCs/>
      <w:color w:val="0098D1"/>
      <w:sz w:val="28"/>
      <w:szCs w:val="28"/>
    </w:rPr>
  </w:style>
  <w:style w:type="paragraph" w:styleId="Kop2">
    <w:name w:val="heading 2"/>
    <w:basedOn w:val="Standaard"/>
    <w:next w:val="Standaard"/>
    <w:link w:val="Kop2Char"/>
    <w:unhideWhenUsed/>
    <w:qFormat/>
    <w:rsid w:val="00D132A1"/>
    <w:pPr>
      <w:keepNext/>
      <w:numPr>
        <w:ilvl w:val="1"/>
        <w:numId w:val="1"/>
      </w:numPr>
      <w:spacing w:before="140" w:line="320" w:lineRule="exact"/>
      <w:jc w:val="both"/>
      <w:outlineLvl w:val="1"/>
    </w:pPr>
    <w:rPr>
      <w:rFonts w:eastAsiaTheme="majorEastAsia" w:cs="Tahoma"/>
      <w:bCs/>
      <w:color w:val="0098D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132A1"/>
    <w:rPr>
      <w:rFonts w:ascii="Century Gothic" w:eastAsiaTheme="majorEastAsia" w:hAnsi="Century Gothic" w:cstheme="majorBidi"/>
      <w:bCs/>
      <w:color w:val="0098D1"/>
      <w:sz w:val="28"/>
      <w:szCs w:val="28"/>
    </w:rPr>
  </w:style>
  <w:style w:type="character" w:customStyle="1" w:styleId="Kop2Char">
    <w:name w:val="Kop 2 Char"/>
    <w:basedOn w:val="Standaardalinea-lettertype"/>
    <w:link w:val="Kop2"/>
    <w:rsid w:val="00D132A1"/>
    <w:rPr>
      <w:rFonts w:ascii="Century Gothic" w:eastAsiaTheme="majorEastAsia" w:hAnsi="Century Gothic" w:cs="Tahoma"/>
      <w:bCs/>
      <w:color w:val="0098D1"/>
      <w:sz w:val="20"/>
      <w:szCs w:val="20"/>
    </w:rPr>
  </w:style>
  <w:style w:type="paragraph" w:customStyle="1" w:styleId="Kopongenummerd">
    <w:name w:val="Kop ongenummerd"/>
    <w:basedOn w:val="Kop1"/>
    <w:next w:val="Standaard"/>
    <w:qFormat/>
    <w:rsid w:val="00D132A1"/>
    <w:pPr>
      <w:numPr>
        <w:numId w:val="0"/>
      </w:numPr>
    </w:pPr>
  </w:style>
  <w:style w:type="paragraph" w:customStyle="1" w:styleId="Voetnoot">
    <w:name w:val="Voetnoot"/>
    <w:basedOn w:val="Voetnoottekst"/>
    <w:uiPriority w:val="99"/>
    <w:rsid w:val="00D132A1"/>
    <w:pPr>
      <w:spacing w:line="180" w:lineRule="exact"/>
      <w:ind w:left="284" w:hanging="284"/>
    </w:pPr>
    <w:rPr>
      <w:rFonts w:eastAsia="Times New Roman" w:cs="Times New Roman"/>
      <w:color w:val="7F7F7F" w:themeColor="text1" w:themeTint="80"/>
      <w:sz w:val="14"/>
      <w:szCs w:val="14"/>
      <w:lang w:eastAsia="nl-NL"/>
    </w:rPr>
  </w:style>
  <w:style w:type="character" w:styleId="Voetnootmarkering">
    <w:name w:val="footnote reference"/>
    <w:rsid w:val="00D132A1"/>
    <w:rPr>
      <w:vertAlign w:val="superscript"/>
    </w:rPr>
  </w:style>
  <w:style w:type="paragraph" w:customStyle="1" w:styleId="Opsommingblauwebullets">
    <w:name w:val="Opsomming blauwe bullets"/>
    <w:basedOn w:val="Standaard"/>
    <w:qFormat/>
    <w:rsid w:val="00D132A1"/>
  </w:style>
  <w:style w:type="paragraph" w:customStyle="1" w:styleId="Opsommingnummeriek">
    <w:name w:val="Opsomming nummeriek"/>
    <w:basedOn w:val="Standaard"/>
    <w:qFormat/>
    <w:rsid w:val="00D132A1"/>
    <w:pPr>
      <w:numPr>
        <w:numId w:val="2"/>
      </w:numPr>
    </w:pPr>
    <w:rPr>
      <w:rFonts w:cs="Tahoma"/>
      <w:szCs w:val="18"/>
    </w:rPr>
  </w:style>
  <w:style w:type="paragraph" w:customStyle="1" w:styleId="Default">
    <w:name w:val="Default"/>
    <w:rsid w:val="00D132A1"/>
    <w:pPr>
      <w:autoSpaceDE w:val="0"/>
      <w:autoSpaceDN w:val="0"/>
      <w:adjustRightInd w:val="0"/>
      <w:spacing w:line="240" w:lineRule="auto"/>
    </w:pPr>
    <w:rPr>
      <w:rFonts w:ascii="Arial" w:eastAsia="Times New Roman" w:hAnsi="Arial" w:cs="Arial"/>
      <w:color w:val="000000"/>
      <w:sz w:val="24"/>
      <w:szCs w:val="24"/>
      <w:lang w:eastAsia="nl-NL"/>
    </w:rPr>
  </w:style>
  <w:style w:type="paragraph" w:styleId="Lijstnummering">
    <w:name w:val="List Number"/>
    <w:basedOn w:val="Standaard"/>
    <w:rsid w:val="00D132A1"/>
    <w:pPr>
      <w:numPr>
        <w:numId w:val="4"/>
      </w:numPr>
      <w:overflowPunct w:val="0"/>
      <w:autoSpaceDE w:val="0"/>
      <w:autoSpaceDN w:val="0"/>
      <w:adjustRightInd w:val="0"/>
      <w:spacing w:line="260" w:lineRule="atLeast"/>
      <w:textAlignment w:val="baseline"/>
    </w:pPr>
    <w:rPr>
      <w:rFonts w:ascii="Arial" w:eastAsia="Times New Roman" w:hAnsi="Arial" w:cs="Arial"/>
      <w:sz w:val="22"/>
      <w:szCs w:val="20"/>
    </w:rPr>
  </w:style>
  <w:style w:type="paragraph" w:styleId="Voetnoottekst">
    <w:name w:val="footnote text"/>
    <w:basedOn w:val="Standaard"/>
    <w:link w:val="VoetnoottekstChar"/>
    <w:uiPriority w:val="99"/>
    <w:semiHidden/>
    <w:unhideWhenUsed/>
    <w:rsid w:val="00D132A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132A1"/>
    <w:rPr>
      <w:rFonts w:ascii="Century Gothic" w:hAnsi="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528</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Voges</dc:creator>
  <cp:keywords/>
  <dc:description/>
  <cp:lastModifiedBy>Bijou Boom</cp:lastModifiedBy>
  <cp:revision>3</cp:revision>
  <dcterms:created xsi:type="dcterms:W3CDTF">2017-03-22T11:01:00Z</dcterms:created>
  <dcterms:modified xsi:type="dcterms:W3CDTF">2017-04-20T08:54:00Z</dcterms:modified>
</cp:coreProperties>
</file>